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DD" w:rsidRDefault="00F10FDD" w:rsidP="0015297D">
      <w:pPr>
        <w:ind w:left="9360"/>
      </w:pPr>
      <w:r>
        <w:t>Rokiškio</w:t>
      </w:r>
      <w:r w:rsidR="0015297D">
        <w:t xml:space="preserve"> rajono </w:t>
      </w:r>
      <w:r w:rsidRPr="00F91082">
        <w:t xml:space="preserve">savivaldybės neformaliojo vaikų </w:t>
      </w:r>
      <w:r>
        <w:t>švietimo ir jo teikėjų veiklos kokybės užtikrinimo tvarkos aprašo</w:t>
      </w:r>
    </w:p>
    <w:p w:rsidR="00F10FDD" w:rsidRPr="00BF6ED7" w:rsidRDefault="00F10FDD" w:rsidP="0015297D">
      <w:pPr>
        <w:ind w:left="8064" w:firstLine="1296"/>
      </w:pPr>
      <w:r w:rsidRPr="00BF6ED7">
        <w:t>2 priedas</w:t>
      </w:r>
      <w:r w:rsidRPr="00BF6ED7">
        <w:tab/>
      </w:r>
    </w:p>
    <w:p w:rsidR="00F10FDD" w:rsidRPr="00BF6ED7" w:rsidRDefault="00F10FDD" w:rsidP="00F10FDD">
      <w:pPr>
        <w:jc w:val="center"/>
        <w:rPr>
          <w:b/>
          <w:strike/>
        </w:rPr>
      </w:pPr>
    </w:p>
    <w:p w:rsidR="00F10FDD" w:rsidRPr="00123BB5" w:rsidRDefault="00F10FDD" w:rsidP="00A4428C">
      <w:pPr>
        <w:widowControl w:val="0"/>
        <w:tabs>
          <w:tab w:val="left" w:pos="10348"/>
        </w:tabs>
        <w:ind w:firstLine="2552"/>
        <w:jc w:val="center"/>
        <w:rPr>
          <w:b/>
        </w:rPr>
      </w:pPr>
      <w:r w:rsidRPr="00866637">
        <w:rPr>
          <w:b/>
          <w:color w:val="000000"/>
          <w:lang w:eastAsia="lt-LT"/>
        </w:rPr>
        <w:t>(</w:t>
      </w:r>
      <w:bookmarkStart w:id="0" w:name="_GoBack"/>
      <w:r w:rsidRPr="00866637">
        <w:rPr>
          <w:b/>
          <w:color w:val="000000"/>
          <w:lang w:eastAsia="lt-LT"/>
        </w:rPr>
        <w:t>Neformaliojo vaikų švietimo kokybės rodiklių įsivertinimo ir išorinio vertinimo rezultatų pildymo forma</w:t>
      </w:r>
      <w:bookmarkEnd w:id="0"/>
      <w:r w:rsidRPr="00866637">
        <w:rPr>
          <w:b/>
          <w:color w:val="000000"/>
          <w:lang w:eastAsia="lt-LT"/>
        </w:rPr>
        <w:t>)</w:t>
      </w:r>
    </w:p>
    <w:p w:rsidR="00F10FDD" w:rsidRPr="00123BB5" w:rsidRDefault="00F10FDD" w:rsidP="00F10FDD">
      <w:pPr>
        <w:jc w:val="center"/>
        <w:rPr>
          <w:b/>
        </w:rPr>
      </w:pPr>
    </w:p>
    <w:p w:rsidR="00F10FDD" w:rsidRPr="00123BB5" w:rsidRDefault="00F10FDD" w:rsidP="00F10FDD">
      <w:pPr>
        <w:jc w:val="center"/>
        <w:rPr>
          <w:b/>
        </w:rPr>
      </w:pPr>
      <w:r w:rsidRPr="00123BB5">
        <w:rPr>
          <w:b/>
        </w:rPr>
        <w:t xml:space="preserve">NEFORMALIOJO VAIKŲ </w:t>
      </w:r>
      <w:r w:rsidR="00010A0A">
        <w:rPr>
          <w:b/>
        </w:rPr>
        <w:t xml:space="preserve">ŠVIETIMO KOKYBĖS RODIKLIŲ </w:t>
      </w:r>
      <w:r w:rsidRPr="00123BB5">
        <w:rPr>
          <w:b/>
        </w:rPr>
        <w:t>ĮSIVERTINIMO IR IŠORINIO VERTINIMO REZULTATAI</w:t>
      </w:r>
    </w:p>
    <w:p w:rsidR="00F10FDD" w:rsidRPr="00123BB5" w:rsidRDefault="00F10FDD" w:rsidP="00F10FDD">
      <w:pPr>
        <w:tabs>
          <w:tab w:val="left" w:pos="4904"/>
          <w:tab w:val="center" w:pos="7001"/>
        </w:tabs>
        <w:ind w:firstLine="4904"/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804"/>
        <w:gridCol w:w="5528"/>
      </w:tblGrid>
      <w:tr w:rsidR="00F10FDD" w:rsidRPr="00123BB5" w:rsidTr="00F10FDD">
        <w:trPr>
          <w:trHeight w:val="41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DD" w:rsidRPr="00866637" w:rsidRDefault="00F10FDD" w:rsidP="005475A4">
            <w:pPr>
              <w:jc w:val="center"/>
            </w:pPr>
          </w:p>
          <w:p w:rsidR="00F10FDD" w:rsidRPr="00866637" w:rsidRDefault="00F10FDD" w:rsidP="005475A4">
            <w:pPr>
              <w:jc w:val="center"/>
            </w:pPr>
            <w:r w:rsidRPr="00866637">
              <w:t>R</w:t>
            </w:r>
            <w:r w:rsidRPr="00123BB5">
              <w:t>odiklis</w:t>
            </w:r>
          </w:p>
          <w:p w:rsidR="00F10FDD" w:rsidRPr="00866637" w:rsidRDefault="00F10FDD" w:rsidP="005475A4">
            <w:pPr>
              <w:jc w:val="center"/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DD" w:rsidRPr="00866637" w:rsidRDefault="00F10FDD" w:rsidP="005475A4">
            <w:pPr>
              <w:tabs>
                <w:tab w:val="left" w:pos="33"/>
              </w:tabs>
              <w:ind w:left="33"/>
              <w:jc w:val="center"/>
            </w:pPr>
          </w:p>
          <w:p w:rsidR="00F10FDD" w:rsidRPr="00866637" w:rsidRDefault="00F10FDD" w:rsidP="005475A4">
            <w:pPr>
              <w:tabs>
                <w:tab w:val="left" w:pos="33"/>
              </w:tabs>
              <w:ind w:left="33"/>
              <w:jc w:val="center"/>
            </w:pPr>
            <w:r w:rsidRPr="00866637">
              <w:t>R</w:t>
            </w:r>
            <w:r w:rsidRPr="00123BB5">
              <w:t xml:space="preserve">odiklio  aspektai 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DD" w:rsidRPr="00866637" w:rsidRDefault="00F10FDD" w:rsidP="00F10FDD">
            <w:pPr>
              <w:ind w:right="92"/>
              <w:jc w:val="center"/>
            </w:pPr>
          </w:p>
          <w:p w:rsidR="00F10FDD" w:rsidRPr="00866637" w:rsidRDefault="00F10FDD" w:rsidP="00F10FDD">
            <w:pPr>
              <w:tabs>
                <w:tab w:val="center" w:pos="2840"/>
                <w:tab w:val="left" w:pos="4605"/>
              </w:tabs>
              <w:ind w:right="92"/>
              <w:jc w:val="center"/>
            </w:pPr>
            <w:r w:rsidRPr="00866637">
              <w:t>R</w:t>
            </w:r>
            <w:r w:rsidRPr="00123BB5">
              <w:t>odiklio  įsivertinimo / vertinimo pagrindimas</w:t>
            </w:r>
          </w:p>
        </w:tc>
      </w:tr>
      <w:tr w:rsidR="00F10FDD" w:rsidRPr="00123BB5" w:rsidTr="00F10FDD">
        <w:trPr>
          <w:cantSplit/>
          <w:trHeight w:val="458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DD" w:rsidRPr="00123BB5" w:rsidRDefault="00F10FDD" w:rsidP="005475A4">
            <w:pPr>
              <w:rPr>
                <w:b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DD" w:rsidRPr="00123BB5" w:rsidRDefault="00F10FDD" w:rsidP="005475A4">
            <w:pPr>
              <w:rPr>
                <w:b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DD" w:rsidRPr="00123BB5" w:rsidRDefault="00F10FDD" w:rsidP="005475A4">
            <w:pPr>
              <w:rPr>
                <w:b/>
              </w:rPr>
            </w:pPr>
          </w:p>
        </w:tc>
      </w:tr>
      <w:tr w:rsidR="00F10FDD" w:rsidRPr="00123BB5" w:rsidTr="00F10FDD">
        <w:trPr>
          <w:cantSplit/>
          <w:trHeight w:val="374"/>
        </w:trPr>
        <w:tc>
          <w:tcPr>
            <w:tcW w:w="1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DD" w:rsidRPr="00123BB5" w:rsidRDefault="00F10FDD" w:rsidP="005475A4">
            <w:pPr>
              <w:tabs>
                <w:tab w:val="center" w:pos="2840"/>
                <w:tab w:val="left" w:pos="4605"/>
              </w:tabs>
              <w:ind w:left="1080" w:hanging="720"/>
              <w:jc w:val="center"/>
              <w:rPr>
                <w:b/>
              </w:rPr>
            </w:pPr>
            <w:r w:rsidRPr="00123BB5">
              <w:rPr>
                <w:b/>
              </w:rPr>
              <w:t>I.</w:t>
            </w:r>
            <w:r w:rsidRPr="00123BB5">
              <w:rPr>
                <w:b/>
              </w:rPr>
              <w:tab/>
              <w:t>UGDYMO PASIEKIMŲ IR PAŽANGOS SRITIS</w:t>
            </w:r>
          </w:p>
        </w:tc>
      </w:tr>
      <w:tr w:rsidR="00F10FDD" w:rsidRPr="00123BB5" w:rsidTr="00F10FDD">
        <w:trPr>
          <w:trHeight w:val="99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DD" w:rsidRPr="00123BB5" w:rsidRDefault="00F10FDD" w:rsidP="005475A4">
            <w:pPr>
              <w:keepNext/>
              <w:keepLines/>
              <w:outlineLvl w:val="1"/>
            </w:pPr>
            <w:r w:rsidRPr="00123BB5">
              <w:t>1. Ugdymosi tikslai, pasiekimai ir jų vertinimas *</w:t>
            </w:r>
          </w:p>
          <w:p w:rsidR="00F10FDD" w:rsidRPr="00123BB5" w:rsidRDefault="00F10FDD" w:rsidP="005475A4"/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FDD" w:rsidRPr="00123BB5" w:rsidRDefault="00F10FDD" w:rsidP="005475A4">
            <w:pPr>
              <w:tabs>
                <w:tab w:val="left" w:pos="311"/>
                <w:tab w:val="left" w:pos="458"/>
              </w:tabs>
              <w:spacing w:line="254" w:lineRule="auto"/>
              <w:ind w:left="33" w:firstLine="1"/>
              <w:rPr>
                <w:rFonts w:eastAsia="Georgia"/>
                <w:i/>
                <w:lang w:eastAsia="lt-LT"/>
              </w:rPr>
            </w:pPr>
            <w:r w:rsidRPr="00123BB5">
              <w:rPr>
                <w:lang w:eastAsia="lt-LT"/>
              </w:rPr>
              <w:t>1.1.</w:t>
            </w:r>
            <w:r w:rsidRPr="00123BB5">
              <w:rPr>
                <w:lang w:eastAsia="lt-LT"/>
              </w:rPr>
              <w:tab/>
            </w:r>
            <w:r w:rsidRPr="00123BB5">
              <w:t>Ugdom</w:t>
            </w:r>
            <w:r>
              <w:t>a</w:t>
            </w:r>
            <w:r w:rsidRPr="00123BB5">
              <w:t xml:space="preserve"> vaikų bendro</w:t>
            </w:r>
            <w:r>
              <w:t>ji</w:t>
            </w:r>
            <w:r w:rsidRPr="00123BB5">
              <w:t xml:space="preserve"> ir dalykinė (profesinė) kompetencij</w:t>
            </w:r>
            <w:r>
              <w:t>a</w:t>
            </w:r>
            <w:r w:rsidRPr="00123BB5">
              <w:t>.</w:t>
            </w:r>
          </w:p>
          <w:p w:rsidR="00F10FDD" w:rsidRPr="00123BB5" w:rsidRDefault="00F10FDD" w:rsidP="005475A4">
            <w:pPr>
              <w:tabs>
                <w:tab w:val="left" w:pos="311"/>
                <w:tab w:val="left" w:pos="458"/>
              </w:tabs>
              <w:spacing w:line="254" w:lineRule="auto"/>
              <w:ind w:left="33" w:firstLine="1"/>
            </w:pPr>
            <w:r w:rsidRPr="00123BB5">
              <w:t>1.2.</w:t>
            </w:r>
            <w:r w:rsidRPr="00123BB5">
              <w:tab/>
              <w:t>Vaikai ir tėvai žino planuojamus ugdymo tikslus.</w:t>
            </w:r>
          </w:p>
          <w:p w:rsidR="00F10FDD" w:rsidRPr="00123BB5" w:rsidRDefault="00F10FDD" w:rsidP="005475A4">
            <w:pPr>
              <w:tabs>
                <w:tab w:val="left" w:pos="282"/>
                <w:tab w:val="left" w:pos="311"/>
                <w:tab w:val="left" w:pos="458"/>
              </w:tabs>
              <w:spacing w:line="254" w:lineRule="auto"/>
              <w:ind w:left="28" w:firstLine="1"/>
            </w:pPr>
            <w:r w:rsidRPr="00123BB5">
              <w:t>1.3.</w:t>
            </w:r>
            <w:r w:rsidRPr="00123BB5">
              <w:tab/>
              <w:t>Teikėjas naudoja individualios vaiko pažangos, pasiekimų atpažinimo ir pažangos vertinimo sistemą.</w:t>
            </w:r>
          </w:p>
          <w:p w:rsidR="00F10FDD" w:rsidRPr="00123BB5" w:rsidRDefault="00F10FDD" w:rsidP="005475A4">
            <w:pPr>
              <w:tabs>
                <w:tab w:val="left" w:pos="282"/>
                <w:tab w:val="left" w:pos="311"/>
                <w:tab w:val="left" w:pos="458"/>
              </w:tabs>
              <w:spacing w:line="254" w:lineRule="auto"/>
              <w:ind w:left="28" w:firstLine="1"/>
            </w:pPr>
            <w:r w:rsidRPr="00123BB5">
              <w:t>1.4.</w:t>
            </w:r>
            <w:r w:rsidRPr="00123BB5">
              <w:tab/>
              <w:t>Vaikui, baigusiam neformaliojo vaikų švietimo programą, išduodamas pažymėjimas, kuriame nurodomos jo įgytos kompetencijos</w:t>
            </w:r>
            <w:r>
              <w:t xml:space="preserve"> rūšys</w:t>
            </w:r>
            <w:r w:rsidRPr="00123BB5"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DD" w:rsidRPr="00123BB5" w:rsidRDefault="00F10FDD" w:rsidP="00F10FDD">
            <w:pPr>
              <w:ind w:right="517"/>
            </w:pPr>
            <w:r w:rsidRPr="00123BB5">
              <w:t>(Įsivertinimo pagrindimas)</w:t>
            </w:r>
            <w:r w:rsidRPr="00123BB5">
              <w:br/>
              <w:t xml:space="preserve">Apibendrinamąjį įvertinimą rekomenduojama išreikšti trimis lygiais: aukštas, vidutiniškas, žemas. </w:t>
            </w:r>
          </w:p>
          <w:p w:rsidR="00F10FDD" w:rsidRPr="00123BB5" w:rsidRDefault="00F10FDD" w:rsidP="005475A4">
            <w:r w:rsidRPr="00123BB5">
              <w:t>Lygių paaiškinimai:</w:t>
            </w:r>
          </w:p>
          <w:p w:rsidR="00F10FDD" w:rsidRPr="00123BB5" w:rsidRDefault="00F10FDD" w:rsidP="005475A4">
            <w:r w:rsidRPr="00123BB5">
              <w:t>aukštas – geras, puikus, pasižymintis dideliu kiekiu, intensyvus;</w:t>
            </w:r>
          </w:p>
          <w:p w:rsidR="00F10FDD" w:rsidRPr="00123BB5" w:rsidRDefault="00F10FDD" w:rsidP="005475A4">
            <w:r w:rsidRPr="00123BB5">
              <w:t>vidutiniškas – turintis tam tikrų ypatybių nei daug, nei mažai;</w:t>
            </w:r>
          </w:p>
          <w:p w:rsidR="00F10FDD" w:rsidRPr="00123BB5" w:rsidRDefault="00F10FDD" w:rsidP="005475A4">
            <w:r w:rsidRPr="00123BB5">
              <w:t>žemas – prastas, menkas, nedidelio kiekio, nepasiekiantis įprasto lygio.</w:t>
            </w:r>
          </w:p>
        </w:tc>
      </w:tr>
      <w:tr w:rsidR="00F10FDD" w:rsidRPr="00123BB5" w:rsidTr="00F10FDD">
        <w:trPr>
          <w:trHeight w:val="789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DD" w:rsidRPr="00123BB5" w:rsidRDefault="00F10FDD" w:rsidP="005475A4"/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DD" w:rsidRPr="00123BB5" w:rsidRDefault="00F10FDD" w:rsidP="005475A4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DD" w:rsidRPr="00123BB5" w:rsidRDefault="00F10FDD" w:rsidP="005475A4">
            <w:r w:rsidRPr="00123BB5">
              <w:t>(Vertinimo pagrindimas)</w:t>
            </w:r>
            <w:r w:rsidRPr="00123BB5">
              <w:br/>
              <w:t xml:space="preserve">Apibendrinamąjį įvertinimą rekomenduojama išreikšti trimis lygiais (aukštas / vidutiniškas / žemas) </w:t>
            </w:r>
          </w:p>
        </w:tc>
      </w:tr>
      <w:tr w:rsidR="00F10FDD" w:rsidRPr="00123BB5" w:rsidTr="00F10FDD">
        <w:trPr>
          <w:trHeight w:val="608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DD" w:rsidRPr="00123BB5" w:rsidRDefault="00F10FDD" w:rsidP="005475A4">
            <w:r w:rsidRPr="00123BB5">
              <w:t xml:space="preserve">2. Asmenybės augimas, </w:t>
            </w:r>
            <w:r w:rsidRPr="00123BB5">
              <w:lastRenderedPageBreak/>
              <w:t>siejant ugdymą su gyvenimu *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FDD" w:rsidRPr="00123BB5" w:rsidRDefault="00F10FDD" w:rsidP="005475A4">
            <w:pPr>
              <w:tabs>
                <w:tab w:val="left" w:pos="141"/>
                <w:tab w:val="left" w:pos="424"/>
              </w:tabs>
              <w:ind w:firstLine="33"/>
              <w:rPr>
                <w:rFonts w:eastAsia="Georgia"/>
                <w:i/>
                <w:strike/>
                <w:lang w:eastAsia="lt-LT"/>
              </w:rPr>
            </w:pPr>
            <w:r w:rsidRPr="00123BB5">
              <w:rPr>
                <w:lang w:eastAsia="lt-LT"/>
              </w:rPr>
              <w:lastRenderedPageBreak/>
              <w:t>2.1.</w:t>
            </w:r>
            <w:r w:rsidRPr="00123BB5">
              <w:rPr>
                <w:lang w:eastAsia="lt-LT"/>
              </w:rPr>
              <w:tab/>
            </w:r>
            <w:r w:rsidRPr="00123BB5">
              <w:t>Vaikas geba išsikelti asmeninius tikslus, įgyja naujų gebėjimų bei vertybinių nuostatų.</w:t>
            </w:r>
          </w:p>
          <w:p w:rsidR="00F10FDD" w:rsidRPr="00123BB5" w:rsidRDefault="00F10FDD" w:rsidP="005475A4">
            <w:pPr>
              <w:tabs>
                <w:tab w:val="left" w:pos="141"/>
                <w:tab w:val="left" w:pos="424"/>
              </w:tabs>
              <w:ind w:firstLine="33"/>
              <w:rPr>
                <w:rFonts w:eastAsia="Georgia"/>
                <w:i/>
                <w:strike/>
                <w:lang w:eastAsia="lt-LT"/>
              </w:rPr>
            </w:pPr>
            <w:r w:rsidRPr="00123BB5">
              <w:rPr>
                <w:lang w:eastAsia="lt-LT"/>
              </w:rPr>
              <w:lastRenderedPageBreak/>
              <w:t>2.2.</w:t>
            </w:r>
            <w:r w:rsidRPr="00123BB5">
              <w:rPr>
                <w:lang w:eastAsia="lt-LT"/>
              </w:rPr>
              <w:tab/>
            </w:r>
            <w:r w:rsidRPr="00123BB5">
              <w:t>Ugdymo procesas planuojamas taip, kad vaikas galėtų pasidžiaugti savo pasiekimais, gebėtų įveikti nesėkmes.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DD" w:rsidRPr="00123BB5" w:rsidRDefault="00F10FDD" w:rsidP="005475A4">
            <w:pPr>
              <w:ind w:firstLine="137"/>
            </w:pPr>
          </w:p>
        </w:tc>
      </w:tr>
      <w:tr w:rsidR="00F10FDD" w:rsidRPr="00123BB5" w:rsidTr="00F10FDD">
        <w:trPr>
          <w:trHeight w:val="336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DD" w:rsidRPr="00123BB5" w:rsidRDefault="00F10FDD" w:rsidP="005475A4"/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DD" w:rsidRPr="00123BB5" w:rsidRDefault="00F10FDD" w:rsidP="005475A4">
            <w:pPr>
              <w:rPr>
                <w:rFonts w:eastAsia="Georgia"/>
                <w:i/>
                <w:strike/>
                <w:lang w:eastAsia="lt-LT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DD" w:rsidRPr="00123BB5" w:rsidRDefault="00F10FDD" w:rsidP="005475A4"/>
        </w:tc>
      </w:tr>
      <w:tr w:rsidR="00F10FDD" w:rsidRPr="00123BB5" w:rsidTr="00F10FDD">
        <w:trPr>
          <w:trHeight w:val="55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DD" w:rsidRPr="00123BB5" w:rsidRDefault="00F10FDD" w:rsidP="005475A4">
            <w:pPr>
              <w:spacing w:line="254" w:lineRule="auto"/>
            </w:pPr>
            <w:r w:rsidRPr="00123BB5">
              <w:lastRenderedPageBreak/>
              <w:t>3. Grįžtamasis ryšys *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FDD" w:rsidRPr="00123BB5" w:rsidRDefault="00F10FDD" w:rsidP="005475A4">
            <w:pPr>
              <w:tabs>
                <w:tab w:val="left" w:pos="33"/>
                <w:tab w:val="left" w:pos="311"/>
                <w:tab w:val="left" w:pos="458"/>
              </w:tabs>
              <w:ind w:left="34"/>
            </w:pPr>
            <w:r w:rsidRPr="00123BB5">
              <w:t>3.1.</w:t>
            </w:r>
            <w:r w:rsidRPr="00123BB5">
              <w:tab/>
              <w:t xml:space="preserve">Teikėjas reguliariai planuoja ir vykdo refleksijas su vaiku apie </w:t>
            </w:r>
            <w:proofErr w:type="spellStart"/>
            <w:r w:rsidRPr="00123BB5">
              <w:t>ugdymo(si</w:t>
            </w:r>
            <w:proofErr w:type="spellEnd"/>
            <w:r w:rsidRPr="00123BB5">
              <w:t>) eigą, pasiekimus bei pažangą.</w:t>
            </w:r>
          </w:p>
          <w:p w:rsidR="00F10FDD" w:rsidRPr="00123BB5" w:rsidRDefault="00F10FDD" w:rsidP="005475A4">
            <w:pPr>
              <w:tabs>
                <w:tab w:val="left" w:pos="33"/>
                <w:tab w:val="left" w:pos="311"/>
                <w:tab w:val="left" w:pos="458"/>
                <w:tab w:val="left" w:pos="1025"/>
              </w:tabs>
              <w:ind w:left="34"/>
            </w:pPr>
            <w:r w:rsidRPr="00123BB5">
              <w:t>3.2.</w:t>
            </w:r>
            <w:r w:rsidRPr="00123BB5">
              <w:tab/>
              <w:t xml:space="preserve">Teikėjas reguliariai aptaria vaiko </w:t>
            </w:r>
            <w:proofErr w:type="spellStart"/>
            <w:r w:rsidRPr="00123BB5">
              <w:t>ugdymo(si</w:t>
            </w:r>
            <w:proofErr w:type="spellEnd"/>
            <w:r w:rsidRPr="00123BB5">
              <w:t xml:space="preserve">) eigą, pasiekimus bei pažangą su tėvais (globėjais / rūpintojais)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DD" w:rsidRPr="00123BB5" w:rsidRDefault="00F10FDD" w:rsidP="005475A4"/>
        </w:tc>
      </w:tr>
      <w:tr w:rsidR="00F10FDD" w:rsidRPr="00123BB5" w:rsidTr="00F10FDD">
        <w:trPr>
          <w:trHeight w:val="48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DD" w:rsidRPr="00123BB5" w:rsidRDefault="00F10FDD" w:rsidP="005475A4"/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DD" w:rsidRPr="00123BB5" w:rsidRDefault="00F10FDD" w:rsidP="005475A4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DD" w:rsidRPr="00123BB5" w:rsidRDefault="00F10FDD" w:rsidP="005475A4"/>
        </w:tc>
      </w:tr>
      <w:tr w:rsidR="00F10FDD" w:rsidRPr="00123BB5" w:rsidTr="00F10FDD">
        <w:trPr>
          <w:trHeight w:val="365"/>
        </w:trPr>
        <w:tc>
          <w:tcPr>
            <w:tcW w:w="1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DD" w:rsidRPr="00123BB5" w:rsidRDefault="00F10FDD" w:rsidP="005475A4">
            <w:pPr>
              <w:ind w:left="1080" w:hanging="720"/>
              <w:jc w:val="center"/>
              <w:rPr>
                <w:b/>
              </w:rPr>
            </w:pPr>
            <w:r w:rsidRPr="00123BB5">
              <w:rPr>
                <w:b/>
              </w:rPr>
              <w:t>II.</w:t>
            </w:r>
            <w:r w:rsidRPr="00123BB5">
              <w:rPr>
                <w:b/>
              </w:rPr>
              <w:tab/>
              <w:t>UGDYMO ORGANIZAVIMO SRITIS</w:t>
            </w:r>
          </w:p>
        </w:tc>
      </w:tr>
      <w:tr w:rsidR="00F10FDD" w:rsidRPr="00123BB5" w:rsidTr="00F10FDD">
        <w:trPr>
          <w:trHeight w:val="54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DD" w:rsidRPr="00123BB5" w:rsidRDefault="00F10FDD" w:rsidP="005475A4">
            <w:pPr>
              <w:rPr>
                <w:b/>
              </w:rPr>
            </w:pPr>
            <w:r w:rsidRPr="00123BB5">
              <w:t>4. Mokytojo kvalifikacija ir nuolatinis tobulėjimas *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FDD" w:rsidRPr="00123BB5" w:rsidRDefault="00F10FDD" w:rsidP="005475A4">
            <w:pPr>
              <w:tabs>
                <w:tab w:val="left" w:pos="33"/>
                <w:tab w:val="left" w:pos="311"/>
              </w:tabs>
              <w:ind w:left="33" w:hanging="360"/>
            </w:pPr>
            <w:r w:rsidRPr="00123BB5">
              <w:t>1.</w:t>
            </w:r>
            <w:r w:rsidRPr="00123BB5">
              <w:tab/>
              <w:t>4.1. Mokytojų kvalifikacija atitinka teisės aktuose numatytus reikalavimus.</w:t>
            </w:r>
          </w:p>
          <w:p w:rsidR="00F10FDD" w:rsidRPr="00DB18D2" w:rsidRDefault="00F10FDD" w:rsidP="005475A4">
            <w:pPr>
              <w:tabs>
                <w:tab w:val="left" w:pos="33"/>
                <w:tab w:val="left" w:pos="311"/>
                <w:tab w:val="left" w:pos="458"/>
              </w:tabs>
              <w:ind w:left="28" w:firstLine="5"/>
            </w:pPr>
            <w:r w:rsidRPr="00123BB5">
              <w:t>4.2.</w:t>
            </w:r>
            <w:r w:rsidRPr="00123BB5">
              <w:tab/>
              <w:t>Mokytojai tikslingai tobulina bendrą</w:t>
            </w:r>
            <w:r>
              <w:t>ją</w:t>
            </w:r>
            <w:r w:rsidRPr="00DB18D2">
              <w:t xml:space="preserve"> ir specialią</w:t>
            </w:r>
            <w:r>
              <w:t>ją</w:t>
            </w:r>
            <w:r w:rsidRPr="00DB18D2">
              <w:t xml:space="preserve"> (dalykin</w:t>
            </w:r>
            <w:r>
              <w:t>ę</w:t>
            </w:r>
            <w:r w:rsidRPr="00DB18D2">
              <w:t xml:space="preserve"> ir didaktin</w:t>
            </w:r>
            <w:r>
              <w:t>ę</w:t>
            </w:r>
            <w:r w:rsidRPr="00DB18D2">
              <w:t>) kompetencij</w:t>
            </w:r>
            <w:r>
              <w:t>ą</w:t>
            </w:r>
            <w:r w:rsidRPr="00DB18D2"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DD" w:rsidRPr="00123BB5" w:rsidRDefault="00F10FDD" w:rsidP="005475A4"/>
        </w:tc>
      </w:tr>
      <w:tr w:rsidR="00F10FDD" w:rsidRPr="00123BB5" w:rsidTr="00F10FDD">
        <w:trPr>
          <w:trHeight w:val="429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DD" w:rsidRPr="00123BB5" w:rsidRDefault="00F10FDD" w:rsidP="005475A4">
            <w:pPr>
              <w:rPr>
                <w:b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DD" w:rsidRPr="00123BB5" w:rsidRDefault="00F10FDD" w:rsidP="005475A4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DD" w:rsidRPr="00123BB5" w:rsidRDefault="00F10FDD" w:rsidP="005475A4"/>
        </w:tc>
      </w:tr>
      <w:tr w:rsidR="00F10FDD" w:rsidRPr="00123BB5" w:rsidTr="00F10FDD">
        <w:trPr>
          <w:trHeight w:val="98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DD" w:rsidRPr="00123BB5" w:rsidRDefault="00F10FDD" w:rsidP="005475A4">
            <w:r w:rsidRPr="00123BB5">
              <w:t>5. Veikl</w:t>
            </w:r>
            <w:r>
              <w:t>os</w:t>
            </w:r>
            <w:r w:rsidRPr="00BB6A0B">
              <w:t xml:space="preserve"> prieinamumas </w:t>
            </w:r>
          </w:p>
          <w:p w:rsidR="00F10FDD" w:rsidRPr="00123BB5" w:rsidRDefault="00F10FDD" w:rsidP="005475A4">
            <w:pPr>
              <w:rPr>
                <w:b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DD" w:rsidRPr="00123BB5" w:rsidRDefault="00F10FDD" w:rsidP="005475A4">
            <w:pPr>
              <w:tabs>
                <w:tab w:val="left" w:pos="317"/>
                <w:tab w:val="left" w:pos="458"/>
              </w:tabs>
              <w:ind w:left="34"/>
              <w:rPr>
                <w:rFonts w:eastAsia="Georgia"/>
                <w:i/>
              </w:rPr>
            </w:pPr>
            <w:r w:rsidRPr="00123BB5">
              <w:t>5.1.</w:t>
            </w:r>
            <w:r w:rsidRPr="00123BB5">
              <w:tab/>
              <w:t>Nuolat vertinamas ugdymo paslaugų poreikis, koreguojama paslaugų pasiūla, užtikrinamas jų teritorinis prieinamumas.</w:t>
            </w:r>
          </w:p>
          <w:p w:rsidR="00F10FDD" w:rsidRPr="00123BB5" w:rsidRDefault="00F10FDD" w:rsidP="005475A4">
            <w:pPr>
              <w:tabs>
                <w:tab w:val="left" w:pos="317"/>
                <w:tab w:val="left" w:pos="458"/>
              </w:tabs>
              <w:ind w:left="34"/>
            </w:pPr>
            <w:r w:rsidRPr="00123BB5">
              <w:t>5.2.</w:t>
            </w:r>
            <w:r w:rsidRPr="00123BB5">
              <w:tab/>
              <w:t>Sudarytos ugdymo galimybės vaikams, turintiems specialiųjų ugdymosi poreikių, socialinę atskirtį patiriantiems ar rizikos grupės vaikams.</w:t>
            </w:r>
          </w:p>
          <w:p w:rsidR="00F10FDD" w:rsidRPr="00123BB5" w:rsidRDefault="00F10FDD" w:rsidP="005475A4">
            <w:pPr>
              <w:tabs>
                <w:tab w:val="left" w:pos="317"/>
                <w:tab w:val="left" w:pos="458"/>
              </w:tabs>
              <w:ind w:left="34"/>
            </w:pPr>
            <w:r w:rsidRPr="00123BB5">
              <w:t>5.3.</w:t>
            </w:r>
            <w:r w:rsidRPr="00123BB5">
              <w:tab/>
              <w:t>Taikoma aiški ir lanksti  paslaugų kainodara.</w:t>
            </w:r>
          </w:p>
          <w:p w:rsidR="00F10FDD" w:rsidRPr="00123BB5" w:rsidRDefault="00F10FDD" w:rsidP="005475A4">
            <w:pPr>
              <w:tabs>
                <w:tab w:val="left" w:pos="317"/>
                <w:tab w:val="left" w:pos="458"/>
              </w:tabs>
              <w:ind w:left="34"/>
              <w:rPr>
                <w:rFonts w:eastAsia="Georgia"/>
                <w:i/>
              </w:rPr>
            </w:pPr>
            <w:r w:rsidRPr="00123BB5">
              <w:t>5.4.</w:t>
            </w:r>
            <w:r w:rsidRPr="00123BB5">
              <w:tab/>
              <w:t>Reguliariai atnaujinama ir pateikiama išsami informacija apie teikiamas švietimo paslaugas.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DD" w:rsidRPr="00123BB5" w:rsidRDefault="00F10FDD" w:rsidP="005475A4"/>
        </w:tc>
      </w:tr>
      <w:tr w:rsidR="00F10FDD" w:rsidRPr="00123BB5" w:rsidTr="00F10FDD">
        <w:trPr>
          <w:trHeight w:val="38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DD" w:rsidRPr="00123BB5" w:rsidRDefault="00F10FDD" w:rsidP="005475A4">
            <w:pPr>
              <w:rPr>
                <w:b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DD" w:rsidRPr="00123BB5" w:rsidRDefault="00F10FDD" w:rsidP="005475A4">
            <w:pPr>
              <w:rPr>
                <w:rFonts w:eastAsia="Georgia"/>
                <w:i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DD" w:rsidRPr="00123BB5" w:rsidRDefault="00F10FDD" w:rsidP="005475A4"/>
        </w:tc>
      </w:tr>
      <w:tr w:rsidR="00F10FDD" w:rsidRPr="00123BB5" w:rsidTr="00F10FDD">
        <w:trPr>
          <w:trHeight w:val="88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DD" w:rsidRPr="00123BB5" w:rsidRDefault="00F10FDD" w:rsidP="005475A4">
            <w:r w:rsidRPr="00123BB5">
              <w:t>6. Ugdymo programa ir ugdymo planas*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FDD" w:rsidRPr="00123BB5" w:rsidRDefault="00F10FDD" w:rsidP="005475A4">
            <w:pPr>
              <w:shd w:val="clear" w:color="auto" w:fill="FFFFFF"/>
              <w:tabs>
                <w:tab w:val="left" w:pos="317"/>
                <w:tab w:val="left" w:pos="458"/>
              </w:tabs>
              <w:ind w:left="34"/>
            </w:pPr>
            <w:r w:rsidRPr="00123BB5">
              <w:rPr>
                <w:rFonts w:eastAsia="Arial Unicode MS"/>
              </w:rPr>
              <w:t>6.1.</w:t>
            </w:r>
            <w:r w:rsidRPr="00123BB5">
              <w:rPr>
                <w:rFonts w:eastAsia="Arial Unicode MS"/>
              </w:rPr>
              <w:tab/>
              <w:t>Ugdymo programa / planas yra nuosekli / -</w:t>
            </w:r>
            <w:proofErr w:type="spellStart"/>
            <w:r w:rsidRPr="00123BB5">
              <w:rPr>
                <w:rFonts w:eastAsia="Arial Unicode MS"/>
              </w:rPr>
              <w:t>us</w:t>
            </w:r>
            <w:proofErr w:type="spellEnd"/>
            <w:r w:rsidRPr="00123BB5">
              <w:rPr>
                <w:rFonts w:eastAsia="Arial Unicode MS"/>
              </w:rPr>
              <w:t xml:space="preserve"> ir logiška / -</w:t>
            </w:r>
            <w:proofErr w:type="spellStart"/>
            <w:r w:rsidRPr="00123BB5">
              <w:rPr>
                <w:rFonts w:eastAsia="Arial Unicode MS"/>
              </w:rPr>
              <w:t>as</w:t>
            </w:r>
            <w:proofErr w:type="spellEnd"/>
            <w:r w:rsidRPr="00123BB5">
              <w:rPr>
                <w:rFonts w:eastAsia="Arial Unicode MS"/>
              </w:rPr>
              <w:t>, parengta vadovaujantis teisės aktais.</w:t>
            </w:r>
          </w:p>
          <w:p w:rsidR="00F10FDD" w:rsidRPr="00123BB5" w:rsidRDefault="00F10FDD" w:rsidP="005475A4">
            <w:pPr>
              <w:shd w:val="clear" w:color="auto" w:fill="FFFFFF"/>
              <w:tabs>
                <w:tab w:val="left" w:pos="317"/>
                <w:tab w:val="left" w:pos="458"/>
              </w:tabs>
              <w:ind w:left="34"/>
            </w:pPr>
            <w:r w:rsidRPr="00123BB5">
              <w:rPr>
                <w:rFonts w:eastAsia="Arial Unicode MS"/>
              </w:rPr>
              <w:t>6.2.</w:t>
            </w:r>
            <w:r w:rsidRPr="00123BB5">
              <w:rPr>
                <w:rFonts w:eastAsia="Arial Unicode MS"/>
              </w:rPr>
              <w:tab/>
              <w:t>Ugdymo programos / planai atnaujinamos / -i ar koreguojamos / -i atsižvelgiant į kintančius poreikius.</w:t>
            </w:r>
          </w:p>
          <w:p w:rsidR="00F10FDD" w:rsidRPr="00123BB5" w:rsidRDefault="00F10FDD" w:rsidP="005475A4">
            <w:pPr>
              <w:shd w:val="clear" w:color="auto" w:fill="FFFFFF"/>
              <w:tabs>
                <w:tab w:val="left" w:pos="317"/>
                <w:tab w:val="left" w:pos="458"/>
              </w:tabs>
              <w:ind w:left="34"/>
            </w:pPr>
            <w:r w:rsidRPr="00123BB5">
              <w:rPr>
                <w:rFonts w:eastAsia="Arial Unicode MS"/>
              </w:rPr>
              <w:t>6.3.</w:t>
            </w:r>
            <w:r w:rsidRPr="00123BB5">
              <w:rPr>
                <w:rFonts w:eastAsia="Arial Unicode MS"/>
              </w:rPr>
              <w:tab/>
            </w:r>
            <w:r w:rsidRPr="00123BB5">
              <w:t>Ugdymo programoje / plane numatyto</w:t>
            </w:r>
            <w:r>
              <w:t>j</w:t>
            </w:r>
            <w:r w:rsidRPr="00F72FB0">
              <w:t>e veiklo</w:t>
            </w:r>
            <w:r>
              <w:t>j</w:t>
            </w:r>
            <w:r w:rsidRPr="00F72FB0">
              <w:t>e vyrauja aktyvūs (įtraukiantys)  ugdymo metodai.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DD" w:rsidRPr="00123BB5" w:rsidRDefault="00F10FDD" w:rsidP="005475A4"/>
        </w:tc>
      </w:tr>
      <w:tr w:rsidR="00F10FDD" w:rsidRPr="00123BB5" w:rsidTr="00F10FDD">
        <w:trPr>
          <w:trHeight w:val="519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DD" w:rsidRPr="00123BB5" w:rsidRDefault="00F10FDD" w:rsidP="005475A4"/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DD" w:rsidRPr="00123BB5" w:rsidRDefault="00F10FDD" w:rsidP="005475A4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DD" w:rsidRPr="00123BB5" w:rsidRDefault="00F10FDD" w:rsidP="005475A4"/>
        </w:tc>
      </w:tr>
      <w:tr w:rsidR="00F10FDD" w:rsidRPr="00123BB5" w:rsidTr="00F10FDD">
        <w:trPr>
          <w:trHeight w:val="140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DD" w:rsidRPr="00123BB5" w:rsidRDefault="00F10FDD" w:rsidP="005475A4">
            <w:r w:rsidRPr="00123BB5">
              <w:t>7. Personalo vadyba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DD" w:rsidRPr="00123BB5" w:rsidRDefault="00F10FDD" w:rsidP="005475A4">
            <w:pPr>
              <w:tabs>
                <w:tab w:val="left" w:pos="317"/>
                <w:tab w:val="left" w:pos="458"/>
              </w:tabs>
              <w:ind w:left="34"/>
              <w:rPr>
                <w:rFonts w:eastAsia="Georgia"/>
                <w:i/>
              </w:rPr>
            </w:pPr>
            <w:r w:rsidRPr="00123BB5">
              <w:t>7.1.</w:t>
            </w:r>
            <w:r w:rsidRPr="00123BB5">
              <w:tab/>
              <w:t>Mokytojų kaita vykdoma tiek, kiek būtina užtikrinti ugdymo poreikius.</w:t>
            </w:r>
          </w:p>
          <w:p w:rsidR="00F10FDD" w:rsidRPr="006C52C4" w:rsidRDefault="00F10FDD" w:rsidP="005475A4">
            <w:pPr>
              <w:tabs>
                <w:tab w:val="left" w:pos="317"/>
                <w:tab w:val="left" w:pos="459"/>
              </w:tabs>
              <w:ind w:left="34"/>
            </w:pPr>
            <w:r w:rsidRPr="00123BB5">
              <w:t>7.2.</w:t>
            </w:r>
            <w:r w:rsidRPr="00123BB5">
              <w:tab/>
              <w:t>Aiški mokytojų pavadavimo, darbuotojų paieškos ir įdarbinimo</w:t>
            </w:r>
            <w:r>
              <w:t xml:space="preserve"> </w:t>
            </w:r>
            <w:r w:rsidRPr="00342DCF">
              <w:t>tvarka ir procedūros</w:t>
            </w:r>
            <w:r w:rsidRPr="006C52C4">
              <w:t>.</w:t>
            </w:r>
          </w:p>
          <w:p w:rsidR="00F10FDD" w:rsidRPr="007F3D77" w:rsidRDefault="00F10FDD" w:rsidP="005475A4">
            <w:pPr>
              <w:tabs>
                <w:tab w:val="left" w:pos="311"/>
                <w:tab w:val="left" w:pos="459"/>
              </w:tabs>
              <w:ind w:left="34"/>
              <w:rPr>
                <w:rFonts w:eastAsia="Georgia"/>
                <w:i/>
              </w:rPr>
            </w:pPr>
            <w:r w:rsidRPr="00123BB5">
              <w:t>7.3.</w:t>
            </w:r>
            <w:r w:rsidRPr="00123BB5">
              <w:tab/>
              <w:t xml:space="preserve">Veikia darbuotojų motyvavimo ir kvalifikacijos tobulinimo </w:t>
            </w:r>
            <w:r w:rsidRPr="00123BB5">
              <w:lastRenderedPageBreak/>
              <w:t>skatinimo sistema, sudaromos sąlygos nuolat</w:t>
            </w:r>
            <w:r>
              <w:t xml:space="preserve"> ugdyti</w:t>
            </w:r>
            <w:r w:rsidRPr="007F3D77">
              <w:t xml:space="preserve"> mokytojų bendr</w:t>
            </w:r>
            <w:r>
              <w:t>ąją</w:t>
            </w:r>
            <w:r w:rsidRPr="007F3D77">
              <w:t xml:space="preserve"> kompetencij</w:t>
            </w:r>
            <w:r>
              <w:t>ą</w:t>
            </w:r>
            <w:r w:rsidRPr="007F3D77">
              <w:t>.</w:t>
            </w:r>
          </w:p>
          <w:p w:rsidR="00F10FDD" w:rsidRPr="00123BB5" w:rsidRDefault="00F10FDD" w:rsidP="005475A4">
            <w:pPr>
              <w:tabs>
                <w:tab w:val="left" w:pos="311"/>
                <w:tab w:val="left" w:pos="459"/>
              </w:tabs>
              <w:ind w:left="34"/>
              <w:rPr>
                <w:rFonts w:eastAsia="Georgia"/>
              </w:rPr>
            </w:pPr>
            <w:r w:rsidRPr="00123BB5">
              <w:t>7.4.</w:t>
            </w:r>
            <w:r w:rsidRPr="00123BB5">
              <w:tab/>
            </w:r>
            <w:r w:rsidRPr="00123BB5">
              <w:rPr>
                <w:rFonts w:eastAsia="Georgia"/>
              </w:rPr>
              <w:t>Veikia mechanizmai, užtikrinantys personalo patirties perdavimą ir potencialo panaudojimą.</w:t>
            </w:r>
          </w:p>
          <w:p w:rsidR="00F10FDD" w:rsidRPr="00123BB5" w:rsidRDefault="00F10FDD" w:rsidP="005475A4">
            <w:pPr>
              <w:tabs>
                <w:tab w:val="left" w:pos="311"/>
                <w:tab w:val="left" w:pos="459"/>
              </w:tabs>
              <w:ind w:left="34"/>
              <w:rPr>
                <w:rFonts w:eastAsia="Georgia"/>
                <w:i/>
              </w:rPr>
            </w:pPr>
            <w:r w:rsidRPr="00123BB5">
              <w:rPr>
                <w:rFonts w:eastAsia="Georgia"/>
              </w:rPr>
              <w:t>7.5. Įstaigoje darbuotojai jaučiasi gerai, mikroklimatas teigiamas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DD" w:rsidRPr="00123BB5" w:rsidRDefault="00F10FDD" w:rsidP="005475A4"/>
        </w:tc>
      </w:tr>
      <w:tr w:rsidR="00F10FDD" w:rsidRPr="00123BB5" w:rsidTr="00F10FDD">
        <w:trPr>
          <w:trHeight w:val="84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DD" w:rsidRPr="00123BB5" w:rsidRDefault="00F10FDD" w:rsidP="005475A4"/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DD" w:rsidRPr="00123BB5" w:rsidRDefault="00F10FDD" w:rsidP="005475A4">
            <w:pPr>
              <w:rPr>
                <w:rFonts w:eastAsia="Georgia"/>
                <w:i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DD" w:rsidRPr="00123BB5" w:rsidRDefault="00F10FDD" w:rsidP="005475A4"/>
        </w:tc>
      </w:tr>
      <w:tr w:rsidR="00F10FDD" w:rsidRPr="00123BB5" w:rsidTr="00F10FDD">
        <w:trPr>
          <w:trHeight w:val="83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DD" w:rsidRPr="00123BB5" w:rsidRDefault="00F10FDD" w:rsidP="005475A4">
            <w:r w:rsidRPr="00123BB5">
              <w:lastRenderedPageBreak/>
              <w:t>8. Bendradarbiavimas ir bendravimas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DD" w:rsidRPr="00727862" w:rsidRDefault="00F10FDD" w:rsidP="005475A4">
            <w:pPr>
              <w:tabs>
                <w:tab w:val="left" w:pos="311"/>
                <w:tab w:val="left" w:pos="458"/>
              </w:tabs>
              <w:ind w:left="34"/>
            </w:pPr>
            <w:r w:rsidRPr="00123BB5">
              <w:t>8.1.</w:t>
            </w:r>
            <w:r w:rsidRPr="00123BB5">
              <w:tab/>
              <w:t>NVŠ teikėjai įtraukia bendruomenę, ypač tėvus (globėjus, rūpintojus), į veikl</w:t>
            </w:r>
            <w:r>
              <w:t>os</w:t>
            </w:r>
            <w:r w:rsidRPr="009542C9">
              <w:t xml:space="preserve"> planavimą. </w:t>
            </w:r>
          </w:p>
          <w:p w:rsidR="00F10FDD" w:rsidRPr="00123BB5" w:rsidRDefault="00F10FDD" w:rsidP="005475A4">
            <w:pPr>
              <w:tabs>
                <w:tab w:val="left" w:pos="311"/>
                <w:tab w:val="left" w:pos="458"/>
              </w:tabs>
              <w:ind w:left="34"/>
              <w:rPr>
                <w:rFonts w:eastAsia="Georgia"/>
              </w:rPr>
            </w:pPr>
            <w:r w:rsidRPr="00123BB5">
              <w:t>8.2.</w:t>
            </w:r>
            <w:r w:rsidRPr="00123BB5">
              <w:tab/>
            </w:r>
            <w:r w:rsidRPr="00123BB5">
              <w:rPr>
                <w:rFonts w:eastAsia="Georgia"/>
              </w:rPr>
              <w:t>NVŠ teikėjas yra atviras bendradarbiavimui su kitais partneriais.</w:t>
            </w:r>
          </w:p>
          <w:p w:rsidR="00F10FDD" w:rsidRPr="00727862" w:rsidRDefault="00F10FDD" w:rsidP="005475A4">
            <w:pPr>
              <w:tabs>
                <w:tab w:val="left" w:pos="311"/>
                <w:tab w:val="left" w:pos="458"/>
              </w:tabs>
              <w:ind w:left="34"/>
            </w:pPr>
            <w:r w:rsidRPr="00123BB5">
              <w:t>8.3.</w:t>
            </w:r>
            <w:r w:rsidRPr="00123BB5">
              <w:tab/>
              <w:t>Kartu su bendruomenės nariais nustatomas ugdymo priemonių, edukacin</w:t>
            </w:r>
            <w:r>
              <w:t>ės</w:t>
            </w:r>
            <w:r w:rsidRPr="00727862">
              <w:t xml:space="preserve"> aplink</w:t>
            </w:r>
            <w:r>
              <w:t>os</w:t>
            </w:r>
            <w:r w:rsidRPr="00727862">
              <w:t xml:space="preserve"> kūrimo poreikis.</w:t>
            </w:r>
          </w:p>
          <w:p w:rsidR="00F10FDD" w:rsidRPr="00123BB5" w:rsidRDefault="00F10FDD" w:rsidP="005475A4">
            <w:pPr>
              <w:tabs>
                <w:tab w:val="left" w:pos="0"/>
                <w:tab w:val="left" w:pos="28"/>
                <w:tab w:val="left" w:pos="311"/>
                <w:tab w:val="left" w:pos="458"/>
              </w:tabs>
              <w:ind w:left="34"/>
            </w:pPr>
            <w:r w:rsidRPr="00123BB5">
              <w:t>8.4.</w:t>
            </w:r>
            <w:r w:rsidRPr="00123BB5">
              <w:tab/>
              <w:t>Bendruomenė turi galimybę vertinti ugdymo paslaugų kokybę ir teikti pasiūlymus jai užtikrinti.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DD" w:rsidRPr="00123BB5" w:rsidRDefault="00F10FDD" w:rsidP="005475A4"/>
        </w:tc>
      </w:tr>
      <w:tr w:rsidR="00F10FDD" w:rsidRPr="00123BB5" w:rsidTr="00F10FDD">
        <w:trPr>
          <w:trHeight w:val="98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DD" w:rsidRPr="00123BB5" w:rsidRDefault="00F10FDD" w:rsidP="005475A4"/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DD" w:rsidRPr="00123BB5" w:rsidRDefault="00F10FDD" w:rsidP="005475A4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DD" w:rsidRPr="00123BB5" w:rsidRDefault="00F10FDD" w:rsidP="005475A4"/>
        </w:tc>
      </w:tr>
      <w:tr w:rsidR="00F10FDD" w:rsidRPr="00123BB5" w:rsidTr="00F10FDD">
        <w:trPr>
          <w:trHeight w:val="84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DD" w:rsidRPr="00123BB5" w:rsidRDefault="00F10FDD" w:rsidP="005475A4">
            <w:r w:rsidRPr="00123BB5">
              <w:t>9. Ugdymo individualizavimas *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DD" w:rsidRPr="00123BB5" w:rsidRDefault="00F10FDD" w:rsidP="005475A4">
            <w:pPr>
              <w:tabs>
                <w:tab w:val="left" w:pos="169"/>
                <w:tab w:val="left" w:pos="311"/>
                <w:tab w:val="left" w:pos="453"/>
              </w:tabs>
              <w:ind w:left="28" w:hanging="29"/>
              <w:rPr>
                <w:rFonts w:eastAsia="Georgia"/>
                <w:i/>
              </w:rPr>
            </w:pPr>
            <w:r w:rsidRPr="00123BB5">
              <w:t>9.1.</w:t>
            </w:r>
            <w:r w:rsidRPr="00123BB5">
              <w:tab/>
              <w:t xml:space="preserve">Mokytojas skatina ugdytinius išsikelti asmeninius tikslus ir atpažinti pažangą jų siekiant. </w:t>
            </w:r>
          </w:p>
          <w:p w:rsidR="00F10FDD" w:rsidRPr="00123BB5" w:rsidRDefault="00F10FDD" w:rsidP="005475A4">
            <w:pPr>
              <w:tabs>
                <w:tab w:val="left" w:pos="169"/>
                <w:tab w:val="left" w:pos="311"/>
                <w:tab w:val="left" w:pos="453"/>
              </w:tabs>
              <w:ind w:left="28" w:hanging="28"/>
              <w:rPr>
                <w:rFonts w:eastAsia="Georgia"/>
              </w:rPr>
            </w:pPr>
            <w:r w:rsidRPr="00123BB5">
              <w:t>9.2.</w:t>
            </w:r>
            <w:r w:rsidRPr="00123BB5">
              <w:tab/>
              <w:t>NVŠ teikėjas turi, vykdo, pritaiko programas, pritaikytas specialiųjų ugdymosi poreikių turintiems vaikams.</w:t>
            </w:r>
          </w:p>
          <w:p w:rsidR="00F10FDD" w:rsidRPr="00123BB5" w:rsidRDefault="00F10FDD" w:rsidP="005475A4">
            <w:pPr>
              <w:tabs>
                <w:tab w:val="left" w:pos="28"/>
                <w:tab w:val="left" w:pos="282"/>
                <w:tab w:val="left" w:pos="458"/>
              </w:tabs>
              <w:rPr>
                <w:rFonts w:eastAsia="Georgia"/>
                <w:i/>
              </w:rPr>
            </w:pPr>
            <w:r w:rsidRPr="00123BB5">
              <w:t>9.3.</w:t>
            </w:r>
            <w:r w:rsidRPr="00123BB5">
              <w:tab/>
            </w:r>
            <w:r w:rsidRPr="00123BB5">
              <w:rPr>
                <w:rFonts w:eastAsia="Georgia"/>
              </w:rPr>
              <w:t>Ugdymo procesas yra individualizuotas ir lankstus, esant tam tikroms situacijoms gali vykti ne pagal išankstinį planą, tačiau veiklos dera su planuotu turiniu.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DD" w:rsidRPr="00123BB5" w:rsidRDefault="00F10FDD" w:rsidP="005475A4"/>
        </w:tc>
      </w:tr>
      <w:tr w:rsidR="00F10FDD" w:rsidRPr="00123BB5" w:rsidTr="00F10FDD">
        <w:trPr>
          <w:trHeight w:val="44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DD" w:rsidRPr="00123BB5" w:rsidRDefault="00F10FDD" w:rsidP="005475A4"/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DD" w:rsidRPr="00123BB5" w:rsidRDefault="00F10FDD" w:rsidP="005475A4">
            <w:pPr>
              <w:rPr>
                <w:rFonts w:eastAsia="Georgia"/>
                <w:i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DD" w:rsidRPr="00123BB5" w:rsidRDefault="00F10FDD" w:rsidP="005475A4"/>
        </w:tc>
      </w:tr>
      <w:tr w:rsidR="00F10FDD" w:rsidRPr="00123BB5" w:rsidTr="00F10FDD">
        <w:trPr>
          <w:trHeight w:val="228"/>
        </w:trPr>
        <w:tc>
          <w:tcPr>
            <w:tcW w:w="1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DD" w:rsidRPr="00123BB5" w:rsidRDefault="00F10FDD" w:rsidP="005475A4">
            <w:pPr>
              <w:ind w:left="1080" w:hanging="720"/>
              <w:jc w:val="center"/>
              <w:rPr>
                <w:b/>
              </w:rPr>
            </w:pPr>
            <w:r w:rsidRPr="00123BB5">
              <w:rPr>
                <w:b/>
              </w:rPr>
              <w:t>III.</w:t>
            </w:r>
            <w:r w:rsidRPr="00123BB5">
              <w:rPr>
                <w:b/>
              </w:rPr>
              <w:tab/>
              <w:t>UGDYMO(SI) APLINKOS SRITIS</w:t>
            </w:r>
          </w:p>
        </w:tc>
      </w:tr>
      <w:tr w:rsidR="00F10FDD" w:rsidRPr="00123BB5" w:rsidTr="00F10FDD">
        <w:trPr>
          <w:trHeight w:val="155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DD" w:rsidRPr="00123BB5" w:rsidRDefault="00F10FDD" w:rsidP="005475A4">
            <w:r w:rsidRPr="00123BB5">
              <w:t xml:space="preserve">10. Fizinė </w:t>
            </w:r>
            <w:proofErr w:type="spellStart"/>
            <w:r w:rsidRPr="00123BB5">
              <w:t>ugdymo(si</w:t>
            </w:r>
            <w:proofErr w:type="spellEnd"/>
            <w:r w:rsidRPr="00123BB5">
              <w:t>) aplinka ir priemonės *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FDD" w:rsidRPr="00123BB5" w:rsidRDefault="00F10FDD" w:rsidP="005475A4">
            <w:pPr>
              <w:tabs>
                <w:tab w:val="left" w:pos="33"/>
                <w:tab w:val="left" w:pos="317"/>
                <w:tab w:val="left" w:pos="600"/>
              </w:tabs>
              <w:ind w:left="33" w:firstLine="1"/>
            </w:pPr>
            <w:r w:rsidRPr="00123BB5">
              <w:t>10.1.</w:t>
            </w:r>
            <w:r w:rsidRPr="00123BB5">
              <w:tab/>
              <w:t xml:space="preserve">Ugdymo erdvės yra saugios. </w:t>
            </w:r>
          </w:p>
          <w:p w:rsidR="00F10FDD" w:rsidRPr="00123BB5" w:rsidRDefault="00F10FDD" w:rsidP="005475A4">
            <w:pPr>
              <w:tabs>
                <w:tab w:val="left" w:pos="33"/>
                <w:tab w:val="left" w:pos="336"/>
                <w:tab w:val="left" w:pos="600"/>
              </w:tabs>
              <w:ind w:left="33" w:firstLine="1"/>
            </w:pPr>
            <w:r w:rsidRPr="00123BB5">
              <w:t>10.2.</w:t>
            </w:r>
            <w:r w:rsidRPr="00123BB5">
              <w:tab/>
            </w:r>
            <w:r w:rsidRPr="00866637">
              <w:rPr>
                <w:rFonts w:eastAsia="Arial Unicode MS"/>
              </w:rPr>
              <w:t>NVŠ teikėjas turi ugdymo programų specifikai pritaikyt</w:t>
            </w:r>
            <w:r>
              <w:rPr>
                <w:rFonts w:eastAsia="Arial Unicode MS"/>
              </w:rPr>
              <w:t xml:space="preserve">ą </w:t>
            </w:r>
            <w:r w:rsidRPr="00866637">
              <w:rPr>
                <w:rFonts w:eastAsia="Arial Unicode MS"/>
              </w:rPr>
              <w:t>aplink</w:t>
            </w:r>
            <w:r>
              <w:rPr>
                <w:rFonts w:eastAsia="Arial Unicode MS"/>
              </w:rPr>
              <w:t>ą</w:t>
            </w:r>
            <w:r w:rsidRPr="00866637">
              <w:rPr>
                <w:rFonts w:eastAsia="Arial Unicode MS"/>
              </w:rPr>
              <w:t>. Jei patalpose vykdomos kelios programos, erdvės lengvai pritaikomos pagal programos specifiką.</w:t>
            </w:r>
          </w:p>
          <w:p w:rsidR="00F10FDD" w:rsidRPr="00123BB5" w:rsidRDefault="00F10FDD" w:rsidP="005475A4">
            <w:pPr>
              <w:tabs>
                <w:tab w:val="left" w:pos="33"/>
                <w:tab w:val="left" w:pos="336"/>
                <w:tab w:val="left" w:pos="600"/>
              </w:tabs>
              <w:ind w:left="33" w:firstLine="1"/>
            </w:pPr>
            <w:r w:rsidRPr="006C52C4">
              <w:t>10.3.</w:t>
            </w:r>
            <w:r w:rsidRPr="006C52C4">
              <w:tab/>
            </w:r>
            <w:r w:rsidRPr="00866637">
              <w:rPr>
                <w:rFonts w:eastAsia="Arial Unicode MS"/>
              </w:rPr>
              <w:t>Ugdymui organizuoti turima reikalinga įranga ir priemonės, kurios atitinka programos turinį ir ugdytinių amžių.</w:t>
            </w:r>
          </w:p>
          <w:p w:rsidR="00F10FDD" w:rsidRPr="00866637" w:rsidRDefault="00F10FDD" w:rsidP="005475A4">
            <w:pPr>
              <w:tabs>
                <w:tab w:val="left" w:pos="317"/>
                <w:tab w:val="left" w:pos="600"/>
              </w:tabs>
              <w:ind w:left="33" w:firstLine="1"/>
              <w:rPr>
                <w:rFonts w:eastAsia="Arial Unicode MS"/>
              </w:rPr>
            </w:pPr>
            <w:r w:rsidRPr="00866637">
              <w:rPr>
                <w:rFonts w:eastAsia="Arial Unicode MS"/>
              </w:rPr>
              <w:t>10.4.</w:t>
            </w:r>
            <w:r w:rsidRPr="00866637">
              <w:rPr>
                <w:rFonts w:eastAsia="Arial Unicode MS"/>
              </w:rPr>
              <w:tab/>
            </w:r>
            <w:r w:rsidRPr="00123BB5">
              <w:rPr>
                <w:rFonts w:eastAsia="Arial Unicode MS"/>
              </w:rPr>
              <w:t>Patalpos pritaikytos mokiniams, turintiems specialiųjų ugdymosi poreikių.</w:t>
            </w:r>
          </w:p>
          <w:p w:rsidR="00F10FDD" w:rsidRPr="006C52C4" w:rsidRDefault="00F10FDD" w:rsidP="005475A4">
            <w:pPr>
              <w:tabs>
                <w:tab w:val="left" w:pos="317"/>
                <w:tab w:val="left" w:pos="600"/>
              </w:tabs>
              <w:ind w:left="33" w:firstLine="1"/>
              <w:rPr>
                <w:rFonts w:eastAsia="Arial Unicode MS"/>
              </w:rPr>
            </w:pPr>
            <w:r w:rsidRPr="00123BB5">
              <w:rPr>
                <w:rFonts w:eastAsia="Arial Unicode MS"/>
              </w:rPr>
              <w:t>10.5.</w:t>
            </w:r>
            <w:r w:rsidRPr="00123BB5">
              <w:rPr>
                <w:rFonts w:eastAsia="Arial Unicode MS"/>
              </w:rPr>
              <w:tab/>
              <w:t>Įreng</w:t>
            </w:r>
            <w:r w:rsidRPr="006C52C4">
              <w:rPr>
                <w:rFonts w:eastAsia="Arial Unicode MS"/>
              </w:rPr>
              <w:t>tos poilsio ir bendravimo zonos.</w:t>
            </w:r>
          </w:p>
          <w:p w:rsidR="00F10FDD" w:rsidRPr="00866637" w:rsidRDefault="00F10FDD" w:rsidP="005475A4">
            <w:pPr>
              <w:tabs>
                <w:tab w:val="left" w:pos="317"/>
                <w:tab w:val="left" w:pos="600"/>
              </w:tabs>
              <w:ind w:left="33" w:firstLine="1"/>
              <w:rPr>
                <w:rFonts w:eastAsia="Arial Unicode MS"/>
              </w:rPr>
            </w:pPr>
            <w:r w:rsidRPr="00866637">
              <w:rPr>
                <w:rFonts w:eastAsia="Arial Unicode MS"/>
              </w:rPr>
              <w:t>10.6.</w:t>
            </w:r>
            <w:r w:rsidRPr="00866637">
              <w:rPr>
                <w:rFonts w:eastAsia="Arial Unicode MS"/>
              </w:rPr>
              <w:tab/>
            </w:r>
            <w:r w:rsidRPr="00123BB5">
              <w:rPr>
                <w:rFonts w:eastAsia="Arial Unicode MS"/>
              </w:rPr>
              <w:t>Vaikai patys dalyvauja kuriant ugdymo aplinką.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DD" w:rsidRPr="00123BB5" w:rsidRDefault="00F10FDD" w:rsidP="005475A4"/>
        </w:tc>
      </w:tr>
      <w:tr w:rsidR="00F10FDD" w:rsidRPr="00123BB5" w:rsidTr="00F10FDD">
        <w:trPr>
          <w:trHeight w:val="91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DD" w:rsidRPr="00123BB5" w:rsidRDefault="00F10FDD" w:rsidP="005475A4"/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DD" w:rsidRPr="00866637" w:rsidRDefault="00F10FDD" w:rsidP="005475A4">
            <w:pPr>
              <w:rPr>
                <w:rFonts w:eastAsia="Arial Unicode M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DD" w:rsidRPr="00123BB5" w:rsidRDefault="00F10FDD" w:rsidP="005475A4"/>
        </w:tc>
      </w:tr>
      <w:tr w:rsidR="00F10FDD" w:rsidRPr="00123BB5" w:rsidTr="00F10FDD">
        <w:trPr>
          <w:trHeight w:val="84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DD" w:rsidRPr="00123BB5" w:rsidRDefault="00F10FDD" w:rsidP="005475A4">
            <w:r w:rsidRPr="00123BB5">
              <w:lastRenderedPageBreak/>
              <w:t>11. Psichologinė aplinka *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FDD" w:rsidRPr="00123BB5" w:rsidRDefault="00F10FDD" w:rsidP="005475A4">
            <w:pPr>
              <w:tabs>
                <w:tab w:val="left" w:pos="33"/>
                <w:tab w:val="left" w:pos="317"/>
                <w:tab w:val="left" w:pos="600"/>
              </w:tabs>
              <w:ind w:left="33" w:firstLine="1"/>
            </w:pPr>
            <w:r w:rsidRPr="00123BB5">
              <w:t>11.1.</w:t>
            </w:r>
            <w:r w:rsidRPr="00123BB5">
              <w:tab/>
              <w:t>Kuriama ir palaikoma vaiko emocinį ir intelektualinį ugdymą skatinanti aplinka.</w:t>
            </w:r>
          </w:p>
          <w:p w:rsidR="00F10FDD" w:rsidRPr="00123BB5" w:rsidRDefault="00F10FDD" w:rsidP="005475A4">
            <w:pPr>
              <w:tabs>
                <w:tab w:val="left" w:pos="33"/>
                <w:tab w:val="left" w:pos="317"/>
                <w:tab w:val="left" w:pos="600"/>
              </w:tabs>
              <w:ind w:left="33" w:firstLine="1"/>
            </w:pPr>
            <w:r w:rsidRPr="00123BB5">
              <w:t>11.2.</w:t>
            </w:r>
            <w:r w:rsidRPr="00123BB5">
              <w:tab/>
              <w:t>Vaikų, mokytojų ir vadovų tarpusavio santykiai grindžiami pagarba ir pasitikėjimu.</w:t>
            </w:r>
          </w:p>
          <w:p w:rsidR="00F10FDD" w:rsidRPr="00123BB5" w:rsidRDefault="00F10FDD" w:rsidP="005475A4">
            <w:pPr>
              <w:tabs>
                <w:tab w:val="left" w:pos="317"/>
                <w:tab w:val="left" w:pos="600"/>
              </w:tabs>
              <w:ind w:left="33" w:firstLine="1"/>
            </w:pPr>
            <w:r w:rsidRPr="00123BB5">
              <w:t>11.3.</w:t>
            </w:r>
            <w:r w:rsidRPr="00123BB5">
              <w:tab/>
              <w:t>Vaikas turi galimybę rodyti iniciatyvą, jaučiasi saugus ir pasitikintis savimi bei kitais, gali išreikšti savo nuomonę.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DD" w:rsidRPr="00123BB5" w:rsidRDefault="00F10FDD" w:rsidP="005475A4"/>
        </w:tc>
      </w:tr>
      <w:tr w:rsidR="00F10FDD" w:rsidRPr="00123BB5" w:rsidTr="00F10FDD">
        <w:trPr>
          <w:trHeight w:val="77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DD" w:rsidRPr="00123BB5" w:rsidRDefault="00F10FDD" w:rsidP="005475A4"/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DD" w:rsidRPr="00123BB5" w:rsidRDefault="00F10FDD" w:rsidP="005475A4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DD" w:rsidRPr="00123BB5" w:rsidRDefault="00F10FDD" w:rsidP="005475A4"/>
        </w:tc>
      </w:tr>
      <w:tr w:rsidR="00F10FDD" w:rsidRPr="00123BB5" w:rsidTr="00F10FDD">
        <w:trPr>
          <w:trHeight w:val="299"/>
        </w:trPr>
        <w:tc>
          <w:tcPr>
            <w:tcW w:w="1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DD" w:rsidRPr="00123BB5" w:rsidRDefault="00F10FDD" w:rsidP="005475A4">
            <w:pPr>
              <w:ind w:left="1080" w:hanging="720"/>
              <w:jc w:val="center"/>
              <w:rPr>
                <w:b/>
              </w:rPr>
            </w:pPr>
            <w:r w:rsidRPr="00123BB5">
              <w:rPr>
                <w:b/>
              </w:rPr>
              <w:t>IV.</w:t>
            </w:r>
            <w:r w:rsidRPr="00123BB5">
              <w:rPr>
                <w:b/>
              </w:rPr>
              <w:tab/>
              <w:t>LYDERYSTĖS IR VADYBOS SRITIS</w:t>
            </w:r>
          </w:p>
        </w:tc>
      </w:tr>
      <w:tr w:rsidR="00F10FDD" w:rsidRPr="00123BB5" w:rsidTr="00F10FDD">
        <w:trPr>
          <w:trHeight w:val="62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DD" w:rsidRPr="00123BB5" w:rsidRDefault="00F10FDD" w:rsidP="005475A4">
            <w:r w:rsidRPr="00123BB5">
              <w:t>12. Vizija, misija, tikslai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DD" w:rsidRPr="00123BB5" w:rsidRDefault="00F10FDD" w:rsidP="005475A4">
            <w:pPr>
              <w:tabs>
                <w:tab w:val="left" w:pos="317"/>
                <w:tab w:val="left" w:pos="600"/>
              </w:tabs>
              <w:ind w:left="33" w:firstLine="1"/>
              <w:rPr>
                <w:lang w:eastAsia="lt-LT"/>
              </w:rPr>
            </w:pPr>
            <w:r w:rsidRPr="00123BB5">
              <w:rPr>
                <w:lang w:eastAsia="lt-LT"/>
              </w:rPr>
              <w:t>12.1.</w:t>
            </w:r>
            <w:r w:rsidRPr="00123BB5">
              <w:rPr>
                <w:lang w:eastAsia="lt-LT"/>
              </w:rPr>
              <w:tab/>
            </w:r>
            <w:r w:rsidRPr="00123BB5">
              <w:t>Teikėjo misija, vizija, filosofija ir tikslai atliepia nacionalinius ir savivaldybės strateginius dokumentus bei teisės aktus, reglamentuojančius NVŠ nuostatas.</w:t>
            </w:r>
          </w:p>
          <w:p w:rsidR="00F10FDD" w:rsidRPr="00123BB5" w:rsidRDefault="00F10FDD" w:rsidP="005475A4">
            <w:pPr>
              <w:tabs>
                <w:tab w:val="left" w:pos="317"/>
                <w:tab w:val="left" w:pos="600"/>
              </w:tabs>
              <w:ind w:left="33" w:firstLine="1"/>
              <w:rPr>
                <w:lang w:eastAsia="lt-LT"/>
              </w:rPr>
            </w:pPr>
            <w:r w:rsidRPr="00123BB5">
              <w:rPr>
                <w:lang w:eastAsia="lt-LT"/>
              </w:rPr>
              <w:t>12.2.</w:t>
            </w:r>
            <w:r w:rsidRPr="00123BB5">
              <w:rPr>
                <w:lang w:eastAsia="lt-LT"/>
              </w:rPr>
              <w:tab/>
            </w:r>
            <w:r w:rsidRPr="00123BB5">
              <w:t>Darbuotojai žino veiklos tikslus, pripažįsta ir prisiima atsakomybę už jų įgyvendinimą.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DD" w:rsidRPr="00123BB5" w:rsidRDefault="00F10FDD" w:rsidP="005475A4"/>
        </w:tc>
      </w:tr>
      <w:tr w:rsidR="00F10FDD" w:rsidRPr="00123BB5" w:rsidTr="00F10FDD">
        <w:trPr>
          <w:trHeight w:val="65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DD" w:rsidRPr="00123BB5" w:rsidRDefault="00F10FDD" w:rsidP="005475A4"/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DD" w:rsidRPr="00123BB5" w:rsidRDefault="00F10FDD" w:rsidP="005475A4">
            <w:pPr>
              <w:rPr>
                <w:lang w:eastAsia="lt-LT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DD" w:rsidRPr="00123BB5" w:rsidRDefault="00F10FDD" w:rsidP="005475A4"/>
        </w:tc>
      </w:tr>
      <w:tr w:rsidR="00F10FDD" w:rsidRPr="00123BB5" w:rsidTr="00F10FDD">
        <w:trPr>
          <w:trHeight w:val="93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DD" w:rsidRPr="00123BB5" w:rsidRDefault="00F10FDD" w:rsidP="005475A4">
            <w:r w:rsidRPr="00123BB5">
              <w:t>13. Duomenimis grįstas sprendimų priėmimas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DD" w:rsidRPr="00123BB5" w:rsidRDefault="00F10FDD" w:rsidP="005475A4">
            <w:pPr>
              <w:tabs>
                <w:tab w:val="left" w:pos="33"/>
                <w:tab w:val="left" w:pos="317"/>
                <w:tab w:val="left" w:pos="600"/>
              </w:tabs>
              <w:ind w:left="33"/>
            </w:pPr>
            <w:r w:rsidRPr="00123BB5">
              <w:t>13.1.</w:t>
            </w:r>
            <w:r w:rsidRPr="00123BB5">
              <w:tab/>
              <w:t xml:space="preserve">Tyrimų, anketų, </w:t>
            </w:r>
            <w:proofErr w:type="spellStart"/>
            <w:r w:rsidRPr="00123BB5">
              <w:t>į(si)vertinimo</w:t>
            </w:r>
            <w:proofErr w:type="spellEnd"/>
            <w:r w:rsidRPr="00123BB5">
              <w:t xml:space="preserve"> ir kt. duomenys naudojami veikloje, remiantis jais tobulinamos ir kuriamos naujos ugdymo programos, gerinama jų kokybė.</w:t>
            </w:r>
          </w:p>
          <w:p w:rsidR="00F10FDD" w:rsidRPr="00123BB5" w:rsidRDefault="00F10FDD" w:rsidP="005475A4">
            <w:pPr>
              <w:tabs>
                <w:tab w:val="left" w:pos="33"/>
                <w:tab w:val="left" w:pos="317"/>
                <w:tab w:val="left" w:pos="600"/>
              </w:tabs>
              <w:ind w:left="33"/>
            </w:pPr>
            <w:r w:rsidRPr="00123BB5">
              <w:t>13.2.</w:t>
            </w:r>
            <w:r w:rsidRPr="00123BB5">
              <w:tab/>
              <w:t>Duomenys naudojami tobulinant NVŠ teikėjo strategiją, metinius veiklos ir ugdymo planus.</w:t>
            </w:r>
          </w:p>
          <w:p w:rsidR="00F10FDD" w:rsidRPr="00123BB5" w:rsidRDefault="00F10FDD" w:rsidP="005475A4">
            <w:pPr>
              <w:tabs>
                <w:tab w:val="left" w:pos="33"/>
                <w:tab w:val="left" w:pos="141"/>
                <w:tab w:val="left" w:pos="282"/>
                <w:tab w:val="left" w:pos="600"/>
              </w:tabs>
            </w:pPr>
            <w:r w:rsidRPr="00123BB5">
              <w:t>13.3.</w:t>
            </w:r>
            <w:r w:rsidRPr="00123BB5">
              <w:tab/>
              <w:t>NVŠ teikėjo biudžetas ir materialiniai ištekliai tvarkomi skaidriai ir tikslingai, laikantis teisės aktų nustatytų reikalavimų.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DD" w:rsidRPr="00123BB5" w:rsidRDefault="00F10FDD" w:rsidP="005475A4"/>
        </w:tc>
      </w:tr>
      <w:tr w:rsidR="00F10FDD" w:rsidRPr="00123BB5" w:rsidTr="00F10FDD">
        <w:trPr>
          <w:trHeight w:val="138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DD" w:rsidRPr="00123BB5" w:rsidRDefault="00F10FDD" w:rsidP="005475A4"/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DD" w:rsidRPr="00123BB5" w:rsidRDefault="00F10FDD" w:rsidP="005475A4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DD" w:rsidRPr="00123BB5" w:rsidRDefault="00F10FDD" w:rsidP="005475A4"/>
        </w:tc>
      </w:tr>
    </w:tbl>
    <w:p w:rsidR="00F10FDD" w:rsidRPr="00123BB5" w:rsidRDefault="00F10FDD" w:rsidP="00F10FDD">
      <w:pPr>
        <w:ind w:firstLine="62"/>
      </w:pPr>
    </w:p>
    <w:p w:rsidR="00F10FDD" w:rsidRDefault="00F10FDD" w:rsidP="00F10FDD">
      <w:r w:rsidRPr="00123BB5">
        <w:rPr>
          <w:b/>
        </w:rPr>
        <w:t>Pastaba.</w:t>
      </w:r>
      <w:r w:rsidRPr="00123BB5">
        <w:t xml:space="preserve">  *(</w:t>
      </w:r>
      <w:r>
        <w:t>Ž</w:t>
      </w:r>
      <w:r w:rsidRPr="008700B1">
        <w:t>vaigždute) pažymėti rodikliai yr</w:t>
      </w:r>
      <w:r>
        <w:t>a privalomi, kiti – pasirenka</w:t>
      </w:r>
    </w:p>
    <w:p w:rsidR="00F10FDD" w:rsidRDefault="00F10FDD" w:rsidP="00F10FDD"/>
    <w:p w:rsidR="00F10FDD" w:rsidRDefault="00F10FDD" w:rsidP="00F10FDD"/>
    <w:p w:rsidR="00F10FDD" w:rsidRDefault="00F10FDD" w:rsidP="00F10FDD"/>
    <w:p w:rsidR="00F10FDD" w:rsidRDefault="00F10FDD" w:rsidP="00F10FDD">
      <w:pPr>
        <w:jc w:val="center"/>
      </w:pPr>
      <w:r w:rsidRPr="00123BB5">
        <w:t>___________________</w:t>
      </w:r>
    </w:p>
    <w:p w:rsidR="00F10FDD" w:rsidRDefault="00F10FDD" w:rsidP="00F10FDD">
      <w:pPr>
        <w:jc w:val="center"/>
        <w:rPr>
          <w:b/>
        </w:rPr>
      </w:pPr>
    </w:p>
    <w:p w:rsidR="00F10FDD" w:rsidRDefault="00F10FDD" w:rsidP="00F10FDD">
      <w:pPr>
        <w:jc w:val="center"/>
        <w:rPr>
          <w:b/>
        </w:rPr>
      </w:pPr>
    </w:p>
    <w:p w:rsidR="00F10FDD" w:rsidRDefault="00F10FDD" w:rsidP="00F10FDD">
      <w:pPr>
        <w:jc w:val="center"/>
        <w:rPr>
          <w:b/>
        </w:rPr>
      </w:pPr>
    </w:p>
    <w:p w:rsidR="00F10FDD" w:rsidRDefault="00F10FDD" w:rsidP="00F10FDD">
      <w:pPr>
        <w:jc w:val="center"/>
        <w:rPr>
          <w:b/>
        </w:rPr>
      </w:pPr>
    </w:p>
    <w:p w:rsidR="00F10FDD" w:rsidRDefault="00F10FDD" w:rsidP="00F10FDD">
      <w:pPr>
        <w:jc w:val="center"/>
        <w:rPr>
          <w:b/>
        </w:rPr>
      </w:pPr>
    </w:p>
    <w:p w:rsidR="00F10FDD" w:rsidRDefault="00F10FDD" w:rsidP="00F10FDD">
      <w:pPr>
        <w:jc w:val="center"/>
        <w:rPr>
          <w:b/>
        </w:rPr>
      </w:pPr>
    </w:p>
    <w:p w:rsidR="00F10FDD" w:rsidRDefault="00F10FDD" w:rsidP="00F10FDD">
      <w:pPr>
        <w:jc w:val="center"/>
        <w:rPr>
          <w:b/>
        </w:rPr>
      </w:pPr>
    </w:p>
    <w:p w:rsidR="0066216D" w:rsidRDefault="0066216D"/>
    <w:sectPr w:rsidR="0066216D" w:rsidSect="005512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D4"/>
    <w:rsid w:val="00010A0A"/>
    <w:rsid w:val="0015297D"/>
    <w:rsid w:val="0055121B"/>
    <w:rsid w:val="0066216D"/>
    <w:rsid w:val="00A4428C"/>
    <w:rsid w:val="00C017D4"/>
    <w:rsid w:val="00F1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1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1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900</Words>
  <Characters>5130</Characters>
  <Application>Microsoft Office Word</Application>
  <DocSecurity>0</DocSecurity>
  <Lines>42</Lines>
  <Paragraphs>12</Paragraphs>
  <ScaleCrop>false</ScaleCrop>
  <Company>Microsoft</Company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Danutė Kniazytė</dc:creator>
  <cp:keywords/>
  <dc:description/>
  <cp:lastModifiedBy>Danutė Kniazytė</cp:lastModifiedBy>
  <cp:revision>6</cp:revision>
  <dcterms:created xsi:type="dcterms:W3CDTF">2020-01-21T09:00:00Z</dcterms:created>
  <dcterms:modified xsi:type="dcterms:W3CDTF">2020-03-09T14:50:00Z</dcterms:modified>
</cp:coreProperties>
</file>